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hd w:fill="FFFFFF" w:val="clear"/>
        <w:spacing w:after="28" w:before="0" w:line="252" w:lineRule="atLeast"/>
        <w:contextualSpacing/>
        <w:jc w:val="both"/>
        <w:rPr>
          <w:rFonts w:ascii="Trebuchet MS" w:cs="Arial" w:hAnsi="Trebuchet MS"/>
          <w:b/>
          <w:sz w:val="20"/>
          <w:szCs w:val="18"/>
        </w:rPr>
      </w:pPr>
      <w:r>
        <w:rPr>
          <w:rFonts w:ascii="Trebuchet MS" w:cs="Arial" w:hAnsi="Trebuchet MS"/>
          <w:b/>
          <w:sz w:val="20"/>
          <w:szCs w:val="18"/>
        </w:rPr>
        <w:t>MINISTÉRIO DA EDUCAÇÃO</w:t>
      </w:r>
    </w:p>
    <w:p>
      <w:pPr>
        <w:pStyle w:val="style27"/>
        <w:tabs>
          <w:tab w:leader="none" w:pos="4419" w:val="center"/>
          <w:tab w:leader="none" w:pos="5139" w:val="center"/>
          <w:tab w:leader="none" w:pos="8838" w:val="right"/>
          <w:tab w:leader="none" w:pos="9558" w:val="right"/>
          <w:tab w:leader="none" w:pos="10218" w:val="left"/>
        </w:tabs>
        <w:spacing w:line="100" w:lineRule="atLeast"/>
        <w:ind w:hanging="0" w:left="720" w:right="0"/>
        <w:rPr>
          <w:rFonts w:ascii="Trebuchet MS" w:cs="Arial" w:hAnsi="Trebuchet MS"/>
          <w:sz w:val="18"/>
          <w:szCs w:val="18"/>
        </w:rPr>
      </w:pPr>
      <w:r>
        <w:rPr>
          <w:rFonts w:ascii="Trebuchet MS" w:cs="Arial" w:hAnsi="Trebuchet MS"/>
          <w:sz w:val="18"/>
          <w:szCs w:val="18"/>
        </w:rPr>
        <w:t xml:space="preserve">SECRETARIA DE EDUCAÇÃO PROFISSIONAL E TECNOLÓGICAINSTITUTO FEDERAL DE EDUCAÇÃO, CIÊNCIA E TECNOLOGIA DE SANTA CATARINA  </w:t>
      </w:r>
    </w:p>
    <w:p>
      <w:pPr>
        <w:pStyle w:val="style27"/>
        <w:shd w:fill="FFFFFF" w:val="clear"/>
        <w:spacing w:after="28" w:before="0" w:line="252" w:lineRule="atLeast"/>
        <w:ind w:hanging="0" w:left="720" w:right="0"/>
        <w:contextualSpacing/>
        <w:jc w:val="center"/>
        <w:rPr/>
      </w:pPr>
      <w:r>
        <w:rPr/>
      </w:r>
    </w:p>
    <w:p>
      <w:pPr>
        <w:pStyle w:val="style25"/>
        <w:shd w:fill="FFFFFF" w:val="clear"/>
        <w:spacing w:after="28" w:before="0" w:line="252" w:lineRule="atLeast"/>
        <w:contextualSpacing/>
        <w:jc w:val="both"/>
        <w:rPr>
          <w:rFonts w:ascii="Verdana" w:cs="Times New Roman" w:eastAsia="Times New Roman" w:hAnsi="Verdana"/>
          <w:color w:val="000000"/>
          <w:sz w:val="18"/>
          <w:szCs w:val="18"/>
          <w:lang w:eastAsia="pt-BR"/>
        </w:rPr>
      </w:pPr>
      <w:r>
        <w:rPr>
          <w:rFonts w:ascii="Verdana" w:cs="Times New Roman" w:eastAsia="Times New Roman" w:hAnsi="Verdana"/>
          <w:color w:val="000000"/>
          <w:sz w:val="18"/>
          <w:szCs w:val="18"/>
          <w:lang w:eastAsia="pt-BR"/>
        </w:rPr>
        <w:t>Aluno (a):</w:t>
      </w:r>
    </w:p>
    <w:p>
      <w:pPr>
        <w:pStyle w:val="style25"/>
        <w:shd w:fill="FFFFFF" w:val="clear"/>
        <w:spacing w:after="28" w:before="0" w:line="252" w:lineRule="atLeast"/>
        <w:contextualSpacing/>
        <w:jc w:val="both"/>
        <w:rPr/>
      </w:pPr>
      <w:r>
        <w:rPr/>
      </w:r>
    </w:p>
    <w:p>
      <w:pPr>
        <w:pStyle w:val="style25"/>
        <w:shd w:fill="FFFFFF" w:val="clear"/>
        <w:spacing w:after="28" w:before="0" w:line="252" w:lineRule="atLeast"/>
        <w:contextualSpacing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rPr/>
      </w:pPr>
      <w:r>
        <w:rPr/>
        <w:t>Explique a reação da figura abaixo:</w:t>
      </w:r>
    </w:p>
    <w:p>
      <w:pPr>
        <w:pStyle w:val="style25"/>
        <w:jc w:val="center"/>
        <w:rPr/>
      </w:pPr>
      <w:r>
        <w:rPr/>
        <w:drawing>
          <wp:inline distB="0" distL="0" distR="0" distT="0">
            <wp:extent cx="2657475" cy="113347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5"/>
        <w:jc w:val="center"/>
        <w:rPr/>
      </w:pPr>
      <w:r>
        <w:rPr/>
      </w:r>
    </w:p>
    <w:p>
      <w:pPr>
        <w:pStyle w:val="style25"/>
        <w:jc w:val="center"/>
        <w:rPr/>
      </w:pPr>
      <w:r>
        <w:rPr/>
      </w:r>
    </w:p>
    <w:p>
      <w:pPr>
        <w:pStyle w:val="style25"/>
        <w:jc w:val="center"/>
        <w:rPr/>
      </w:pPr>
      <w:r>
        <w:rPr/>
      </w:r>
    </w:p>
    <w:p>
      <w:pPr>
        <w:pStyle w:val="style25"/>
        <w:jc w:val="center"/>
        <w:rPr/>
      </w:pPr>
      <w:r>
        <w:rPr/>
      </w:r>
    </w:p>
    <w:p>
      <w:pPr>
        <w:pStyle w:val="style25"/>
        <w:jc w:val="center"/>
        <w:rPr/>
      </w:pPr>
      <w:r>
        <w:rPr/>
      </w:r>
    </w:p>
    <w:p>
      <w:pPr>
        <w:pStyle w:val="style25"/>
        <w:jc w:val="center"/>
        <w:rPr/>
      </w:pPr>
      <w:r>
        <w:rPr/>
      </w:r>
    </w:p>
    <w:p>
      <w:pPr>
        <w:pStyle w:val="style25"/>
        <w:jc w:val="center"/>
        <w:rPr/>
      </w:pPr>
      <w:r>
        <w:rPr/>
      </w:r>
    </w:p>
    <w:p>
      <w:pPr>
        <w:pStyle w:val="style25"/>
        <w:jc w:val="center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/>
      </w:pPr>
      <w:r>
        <w:rPr/>
        <w:t>Fosforilação da glicose significa que a glicose se liga ao fosfato após ter sido absorvida pelas células. Considerando esta afirmação responda:</w:t>
      </w:r>
    </w:p>
    <w:p>
      <w:pPr>
        <w:pStyle w:val="style25"/>
        <w:numPr>
          <w:ilvl w:val="0"/>
          <w:numId w:val="2"/>
        </w:numPr>
        <w:jc w:val="both"/>
        <w:rPr/>
      </w:pPr>
      <w:r>
        <w:rPr/>
        <w:t>Por que a glicose precisa ser fosforilada?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5"/>
        <w:numPr>
          <w:ilvl w:val="0"/>
          <w:numId w:val="2"/>
        </w:numPr>
        <w:jc w:val="both"/>
        <w:rPr/>
      </w:pPr>
      <w:r>
        <w:rPr/>
        <w:t>Por que somente o fígado mantém a glicemia (taxa de glicose sanguínea)?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/>
      </w:pPr>
      <w:r>
        <w:rPr/>
        <w:t>Qual é a função do NAD e FAD?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/>
      </w:pPr>
      <w:r>
        <w:rPr/>
        <w:t>Explique o destino o O</w:t>
      </w:r>
      <w:r>
        <w:rPr>
          <w:vertAlign w:val="subscript"/>
        </w:rPr>
        <w:t>2</w:t>
      </w:r>
      <w:r>
        <w:rPr/>
        <w:t xml:space="preserve"> e a origem do CO</w:t>
      </w:r>
      <w:r>
        <w:rPr>
          <w:vertAlign w:val="subscript"/>
        </w:rPr>
        <w:t>2</w:t>
      </w:r>
      <w:r>
        <w:rPr/>
        <w:t xml:space="preserve"> no processo de respiração celular</w:t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jc w:val="both"/>
        <w:rPr/>
      </w:pPr>
      <w:r>
        <w:rPr/>
        <w:t>Explique sucintamente a via da glicólise ou via glicolítica e o ciclo de Krebs, citando o local onde ocorre, o substrato e os produtos.</w:t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3"/>
        <w:jc w:val="both"/>
        <w:rPr/>
      </w:pPr>
      <w:r>
        <w:rPr/>
      </w:r>
    </w:p>
    <w:p>
      <w:pPr>
        <w:pStyle w:val="style25"/>
        <w:numPr>
          <w:ilvl w:val="0"/>
          <w:numId w:val="1"/>
        </w:numPr>
        <w:spacing w:after="200" w:before="0"/>
        <w:contextualSpacing/>
        <w:jc w:val="both"/>
        <w:rPr/>
      </w:pPr>
      <w:r>
        <w:rPr/>
        <w:t>Esquematize o processo de respiração celular.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Cabeçalho Char"/>
    <w:basedOn w:val="style15"/>
    <w:next w:val="style17"/>
    <w:rPr>
      <w:rFonts w:ascii="Calibri" w:cs="Calibri" w:eastAsia="SimSun" w:hAnsi="Calibri"/>
      <w:color w:val="00000A"/>
    </w:rPr>
  </w:style>
  <w:style w:styleId="style18" w:type="paragraph">
    <w:name w:val="Título"/>
    <w:basedOn w:val="style23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24"/>
    <w:next w:val="style20"/>
    <w:pPr/>
    <w:rPr>
      <w:rFonts w:cs="Mangal"/>
    </w:rPr>
  </w:style>
  <w:style w:styleId="style21" w:type="paragraph">
    <w:name w:val="Legenda"/>
    <w:basedOn w:val="style23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23"/>
    <w:next w:val="style22"/>
    <w:pPr>
      <w:suppressLineNumbers/>
    </w:pPr>
    <w:rPr>
      <w:rFonts w:cs="Mangal"/>
    </w:rPr>
  </w:style>
  <w:style w:styleId="style23" w:type="paragraph">
    <w:name w:val="Padrão"/>
    <w:next w:val="style23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t-BR"/>
    </w:rPr>
  </w:style>
  <w:style w:styleId="style24" w:type="paragraph">
    <w:name w:val="Corpo de texto"/>
    <w:basedOn w:val="style23"/>
    <w:next w:val="style24"/>
    <w:pPr>
      <w:spacing w:after="120" w:before="0"/>
      <w:contextualSpacing w:val="false"/>
    </w:pPr>
    <w:rPr/>
  </w:style>
  <w:style w:styleId="style25" w:type="paragraph">
    <w:name w:val="List Paragraph"/>
    <w:basedOn w:val="style23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Balloon Text"/>
    <w:basedOn w:val="style23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Cabeçalho"/>
    <w:basedOn w:val="style23"/>
    <w:next w:val="style27"/>
    <w:pPr>
      <w:suppressLineNumbers/>
      <w:tabs>
        <w:tab w:leader="none" w:pos="4419" w:val="center"/>
        <w:tab w:leader="none" w:pos="8838" w:val="right"/>
      </w:tabs>
      <w:suppressAutoHyphens w:val="true"/>
    </w:pPr>
    <w:rPr>
      <w:rFonts w:ascii="Calibri" w:cs="Calibri" w:eastAsia="SimSun" w:hAnsi="Calibri"/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2014-06-03T23:25:00Z</dcterms:created>
  <dc:creator>Lucia</dc:creator>
  <cp:lastModifiedBy>Lucia</cp:lastModifiedBy>
  <dcterms:modified xsi:type="dcterms:W3CDTF">2014-06-03T23:25:00Z</dcterms:modified>
  <cp:revision>2</cp:revision>
</cp:coreProperties>
</file>